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CC6A" w14:textId="0653A4B3" w:rsidR="005B6B05" w:rsidRDefault="005B6B05" w:rsidP="005B6B05">
      <w:pPr>
        <w:shd w:val="clear" w:color="auto" w:fill="F2F2F2"/>
        <w:spacing w:before="240" w:after="120" w:line="264" w:lineRule="atLeast"/>
        <w:outlineLvl w:val="2"/>
        <w:rPr>
          <w:rFonts w:ascii="Titillium Web" w:eastAsia="Times New Roman" w:hAnsi="Titillium Web" w:cs="Times New Roman"/>
          <w:b/>
          <w:bCs/>
          <w:caps/>
          <w:color w:val="000000"/>
          <w:kern w:val="0"/>
          <w:sz w:val="27"/>
          <w:szCs w:val="27"/>
          <w:lang w:eastAsia="it-IT"/>
          <w14:ligatures w14:val="none"/>
        </w:rPr>
      </w:pPr>
      <w:r w:rsidRPr="005B6B05">
        <w:rPr>
          <w:rFonts w:ascii="Titillium Web" w:eastAsia="Times New Roman" w:hAnsi="Titillium Web" w:cs="Times New Roman"/>
          <w:b/>
          <w:bCs/>
          <w:caps/>
          <w:color w:val="000000"/>
          <w:kern w:val="0"/>
          <w:sz w:val="27"/>
          <w:szCs w:val="27"/>
          <w:lang w:eastAsia="it-IT"/>
          <w14:ligatures w14:val="none"/>
        </w:rPr>
        <w:t>Notizie dalla Regione</w:t>
      </w:r>
      <w:r w:rsidR="00C331A6">
        <w:rPr>
          <w:rFonts w:ascii="Titillium Web" w:eastAsia="Times New Roman" w:hAnsi="Titillium Web" w:cs="Times New Roman"/>
          <w:b/>
          <w:bCs/>
          <w:caps/>
          <w:color w:val="000000"/>
          <w:kern w:val="0"/>
          <w:sz w:val="27"/>
          <w:szCs w:val="27"/>
          <w:lang w:eastAsia="it-IT"/>
          <w14:ligatures w14:val="none"/>
        </w:rPr>
        <w:t xml:space="preserve"> AUTONOMA DELLA SARDEGNA</w:t>
      </w:r>
    </w:p>
    <w:p w14:paraId="67EC31E2" w14:textId="08EE0D87" w:rsidR="00C331A6" w:rsidRPr="005B6B05" w:rsidRDefault="00C331A6" w:rsidP="005B6B05">
      <w:pPr>
        <w:shd w:val="clear" w:color="auto" w:fill="F2F2F2"/>
        <w:spacing w:before="240" w:after="120" w:line="264" w:lineRule="atLeast"/>
        <w:outlineLvl w:val="2"/>
        <w:rPr>
          <w:rFonts w:ascii="Titillium Web" w:eastAsia="Times New Roman" w:hAnsi="Titillium Web" w:cs="Times New Roman"/>
          <w:b/>
          <w:bCs/>
          <w:cap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aps/>
          <w:color w:val="000000"/>
          <w:kern w:val="0"/>
          <w:sz w:val="27"/>
          <w:szCs w:val="27"/>
          <w:lang w:eastAsia="it-IT"/>
          <w14:ligatures w14:val="none"/>
        </w:rPr>
        <w:t>ASSESSORATO ALLO SPORT</w:t>
      </w:r>
    </w:p>
    <w:p w14:paraId="1CDCB3A2" w14:textId="77777777" w:rsidR="005B6B05" w:rsidRPr="005B6B05" w:rsidRDefault="005B6B05" w:rsidP="005B6B05">
      <w:pPr>
        <w:shd w:val="clear" w:color="auto" w:fill="F2F2F2"/>
        <w:spacing w:after="0" w:line="264" w:lineRule="atLeast"/>
        <w:outlineLvl w:val="0"/>
        <w:rPr>
          <w:rFonts w:ascii="Titillium Web" w:eastAsia="Times New Roman" w:hAnsi="Titillium Web" w:cs="Times New Roman"/>
          <w:b/>
          <w:bCs/>
          <w:color w:val="000000"/>
          <w:spacing w:val="-18"/>
          <w:kern w:val="36"/>
          <w:sz w:val="48"/>
          <w:szCs w:val="48"/>
          <w:lang w:eastAsia="it-IT"/>
          <w14:ligatures w14:val="none"/>
        </w:rPr>
      </w:pPr>
      <w:r w:rsidRPr="005B6B05">
        <w:rPr>
          <w:rFonts w:ascii="Titillium Web" w:eastAsia="Times New Roman" w:hAnsi="Titillium Web" w:cs="Times New Roman"/>
          <w:b/>
          <w:bCs/>
          <w:color w:val="000000"/>
          <w:spacing w:val="-18"/>
          <w:kern w:val="36"/>
          <w:sz w:val="48"/>
          <w:szCs w:val="48"/>
          <w:lang w:eastAsia="it-IT"/>
          <w14:ligatures w14:val="none"/>
        </w:rPr>
        <w:t>Sport - Dal 1° luglio al via richieste per contributi partecipazione a singole trasferte in territorio extraregionale</w:t>
      </w:r>
    </w:p>
    <w:p w14:paraId="3130D610" w14:textId="77777777" w:rsidR="001207BE" w:rsidRPr="001207BE" w:rsidRDefault="001207BE" w:rsidP="001207BE">
      <w:pPr>
        <w:shd w:val="clear" w:color="auto" w:fill="FFFFFF"/>
        <w:spacing w:after="100" w:afterAutospacing="1" w:line="240" w:lineRule="auto"/>
        <w:ind w:left="720"/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</w:pPr>
      <w:r w:rsidRPr="001207BE"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  <w:t>E' stato </w:t>
      </w:r>
      <w:r w:rsidRPr="001207BE">
        <w:rPr>
          <w:rFonts w:ascii="Titillium Web" w:eastAsia="Times New Roman" w:hAnsi="Titillium Web" w:cs="Times New Roman"/>
          <w:b/>
          <w:bCs/>
          <w:color w:val="000000"/>
          <w:kern w:val="0"/>
          <w:lang w:eastAsia="it-IT"/>
          <w14:ligatures w14:val="none"/>
        </w:rPr>
        <w:t>approvato il Bando pubblico per la presentazione delle domande di concessione di contributi per la partecipazione a singole trasferte effettuate, in territorio extraregionale</w:t>
      </w:r>
      <w:r w:rsidRPr="001207BE"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  <w:t>, dal 1° ottobre 2024 al 30 settembre 2025 (L.R. 17 maggio 1999, n. 17 “Provvedimenti a favore dello sviluppo dello sport in Sardegna).</w:t>
      </w:r>
    </w:p>
    <w:p w14:paraId="3990FABB" w14:textId="77777777" w:rsidR="001207BE" w:rsidRPr="001207BE" w:rsidRDefault="001207BE" w:rsidP="001207BE">
      <w:pPr>
        <w:shd w:val="clear" w:color="auto" w:fill="FFFFFF"/>
        <w:spacing w:after="100" w:afterAutospacing="1" w:line="240" w:lineRule="auto"/>
        <w:ind w:left="720"/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</w:pPr>
      <w:r w:rsidRPr="001207BE">
        <w:rPr>
          <w:rFonts w:ascii="Titillium Web" w:eastAsia="Times New Roman" w:hAnsi="Titillium Web" w:cs="Times New Roman"/>
          <w:b/>
          <w:bCs/>
          <w:color w:val="000000"/>
          <w:kern w:val="0"/>
          <w:lang w:eastAsia="it-IT"/>
          <w14:ligatures w14:val="none"/>
        </w:rPr>
        <w:t>Possono accedere ai contributi:</w:t>
      </w:r>
    </w:p>
    <w:p w14:paraId="09EFA663" w14:textId="77777777" w:rsidR="001207BE" w:rsidRPr="001207BE" w:rsidRDefault="001207BE" w:rsidP="001207BE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</w:pPr>
      <w:r w:rsidRPr="001207BE"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  <w:t>Società e associazioni sportive non professionistiche affiliate alle Federazioni e/o agli Enti di promozione riconosciuti dal C.O.N.I. o dal C.I.P. aventi sede operativa in Sardegna;</w:t>
      </w:r>
    </w:p>
    <w:p w14:paraId="2DF59553" w14:textId="77777777" w:rsidR="001207BE" w:rsidRPr="001207BE" w:rsidRDefault="001207BE" w:rsidP="001207BE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000000"/>
          <w:sz w:val="22"/>
          <w:szCs w:val="22"/>
        </w:rPr>
      </w:pP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Le richieste di contributo devono essere presentate esclusivamente per via telematica</w:t>
      </w:r>
      <w:r w:rsidRPr="001207BE">
        <w:rPr>
          <w:rFonts w:ascii="Titillium Web" w:hAnsi="Titillium Web"/>
          <w:color w:val="000000"/>
          <w:sz w:val="22"/>
          <w:szCs w:val="22"/>
        </w:rPr>
        <w:t> mediante il sistema informatico online appositamente predisposto dalla Regione </w:t>
      </w: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S.U.S</w:t>
      </w:r>
      <w:r w:rsidRPr="001207BE">
        <w:rPr>
          <w:rFonts w:ascii="Titillium Web" w:hAnsi="Titillium Web"/>
          <w:color w:val="000000"/>
          <w:sz w:val="22"/>
          <w:szCs w:val="22"/>
        </w:rPr>
        <w:t>. (Sportello Unico dei Servizi), raggiungibile all'indirizzo: </w:t>
      </w:r>
      <w:hyperlink r:id="rId5" w:history="1">
        <w:r w:rsidRPr="001207BE">
          <w:rPr>
            <w:rStyle w:val="Collegamentoipertestuale"/>
            <w:rFonts w:ascii="Titillium Web" w:eastAsiaTheme="majorEastAsia" w:hAnsi="Titillium Web"/>
            <w:b/>
            <w:bCs/>
            <w:color w:val="08324F"/>
            <w:sz w:val="22"/>
            <w:szCs w:val="22"/>
          </w:rPr>
          <w:t>http://sus.regione.sardegna.it</w:t>
        </w:r>
      </w:hyperlink>
      <w:r w:rsidRPr="001207BE">
        <w:rPr>
          <w:rFonts w:ascii="Titillium Web" w:hAnsi="Titillium Web"/>
          <w:color w:val="000000"/>
          <w:sz w:val="22"/>
          <w:szCs w:val="22"/>
        </w:rPr>
        <w:t> e potranno essere trasmesse </w:t>
      </w: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a partire dal 1 luglio 2025 e non oltre le ore 23:59 del giorno 6 ottobre 2025</w:t>
      </w:r>
      <w:r w:rsidRPr="001207BE">
        <w:rPr>
          <w:rFonts w:ascii="Titillium Web" w:hAnsi="Titillium Web"/>
          <w:color w:val="000000"/>
          <w:sz w:val="22"/>
          <w:szCs w:val="22"/>
        </w:rPr>
        <w:t>. Per la compilazione della domanda on-line, si suggerisce di consultare il Manuale utente, disponibile nelle schede descrittive dei procedimenti nel S.U.S.</w:t>
      </w:r>
    </w:p>
    <w:p w14:paraId="416E4D2C" w14:textId="77777777" w:rsidR="001207BE" w:rsidRPr="001207BE" w:rsidRDefault="001207BE" w:rsidP="001207BE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000000"/>
          <w:sz w:val="22"/>
          <w:szCs w:val="22"/>
        </w:rPr>
      </w:pPr>
      <w:r w:rsidRPr="001207BE">
        <w:rPr>
          <w:rFonts w:ascii="Titillium Web" w:hAnsi="Titillium Web"/>
          <w:color w:val="000000"/>
          <w:sz w:val="22"/>
          <w:szCs w:val="22"/>
        </w:rPr>
        <w:t>Si chiarisce che, nella maschera “</w:t>
      </w: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trasferta</w:t>
      </w:r>
      <w:r w:rsidRPr="001207BE">
        <w:rPr>
          <w:rFonts w:ascii="Titillium Web" w:hAnsi="Titillium Web"/>
          <w:color w:val="000000"/>
          <w:sz w:val="22"/>
          <w:szCs w:val="22"/>
        </w:rPr>
        <w:t>” alla voce “</w:t>
      </w: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Rilievo</w:t>
      </w:r>
      <w:r w:rsidRPr="001207BE">
        <w:rPr>
          <w:rFonts w:ascii="Titillium Web" w:hAnsi="Titillium Web"/>
          <w:color w:val="000000"/>
          <w:sz w:val="22"/>
          <w:szCs w:val="22"/>
        </w:rPr>
        <w:t>” per:</w:t>
      </w:r>
    </w:p>
    <w:p w14:paraId="3F93576B" w14:textId="77777777" w:rsidR="001207BE" w:rsidRPr="001207BE" w:rsidRDefault="001207BE" w:rsidP="001207BE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Titillium Web" w:hAnsi="Titillium Web"/>
          <w:color w:val="000000"/>
          <w:sz w:val="22"/>
          <w:szCs w:val="22"/>
        </w:rPr>
      </w:pP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Campionati nazionali e internazionali</w:t>
      </w:r>
      <w:r w:rsidRPr="001207BE">
        <w:rPr>
          <w:rFonts w:ascii="Titillium Web" w:hAnsi="Titillium Web"/>
          <w:color w:val="000000"/>
          <w:sz w:val="22"/>
          <w:szCs w:val="22"/>
        </w:rPr>
        <w:t> si intendono le trasferte interregionali effettuate in occasione di campionati nazionali e internazionali, playoff e playout, coppa Italia, qualificazioni a europei/ coppe europee, mondiali, olimpiadi e calendari ufficiali delle Federazioni di appartenenza.</w:t>
      </w:r>
    </w:p>
    <w:p w14:paraId="128D73D3" w14:textId="77777777" w:rsidR="001207BE" w:rsidRPr="001207BE" w:rsidRDefault="001207BE" w:rsidP="001207BE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Titillium Web" w:hAnsi="Titillium Web"/>
          <w:color w:val="000000"/>
          <w:sz w:val="22"/>
          <w:szCs w:val="22"/>
        </w:rPr>
      </w:pP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Manifestazioni</w:t>
      </w:r>
      <w:r w:rsidRPr="001207BE">
        <w:rPr>
          <w:rFonts w:ascii="Titillium Web" w:hAnsi="Titillium Web"/>
          <w:color w:val="000000"/>
          <w:sz w:val="22"/>
          <w:szCs w:val="22"/>
        </w:rPr>
        <w:t> si intendono le trasferte interregionali effettuate in occasione di manifestazioni o iniziative sportive non riconducibili alle trasferte dell'elenco precedente.</w:t>
      </w:r>
    </w:p>
    <w:p w14:paraId="57A111DC" w14:textId="77777777" w:rsidR="001207BE" w:rsidRPr="001207BE" w:rsidRDefault="001207BE" w:rsidP="001207BE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000000"/>
          <w:sz w:val="22"/>
          <w:szCs w:val="22"/>
        </w:rPr>
      </w:pPr>
      <w:r w:rsidRPr="001207BE">
        <w:rPr>
          <w:rStyle w:val="Enfasigrassetto"/>
          <w:rFonts w:ascii="Titillium Web" w:eastAsiaTheme="majorEastAsia" w:hAnsi="Titillium Web"/>
          <w:color w:val="000000"/>
          <w:sz w:val="22"/>
          <w:szCs w:val="22"/>
        </w:rPr>
        <w:t>Le richieste di contributo pervenute entro il 10 settembre 2025 saranno istruite prioritariamente</w:t>
      </w:r>
      <w:r w:rsidRPr="001207BE">
        <w:rPr>
          <w:rFonts w:ascii="Titillium Web" w:hAnsi="Titillium Web"/>
          <w:color w:val="000000"/>
          <w:sz w:val="22"/>
          <w:szCs w:val="22"/>
        </w:rPr>
        <w:t>.</w:t>
      </w:r>
    </w:p>
    <w:p w14:paraId="49CEDE42" w14:textId="77777777" w:rsidR="001207BE" w:rsidRPr="001207BE" w:rsidRDefault="001207BE" w:rsidP="001207B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tillium Web" w:eastAsia="Times New Roman" w:hAnsi="Titillium Web" w:cs="Times New Roman"/>
          <w:color w:val="000000"/>
          <w:kern w:val="0"/>
          <w:lang w:eastAsia="it-IT"/>
          <w14:ligatures w14:val="none"/>
        </w:rPr>
      </w:pPr>
    </w:p>
    <w:p w14:paraId="2E8E9BF6" w14:textId="77777777" w:rsidR="00865E38" w:rsidRPr="001207BE" w:rsidRDefault="00865E38"/>
    <w:sectPr w:rsidR="00865E38" w:rsidRPr="00120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26D4"/>
    <w:multiLevelType w:val="multilevel"/>
    <w:tmpl w:val="43F4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C1D20"/>
    <w:multiLevelType w:val="multilevel"/>
    <w:tmpl w:val="3A64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717570">
    <w:abstractNumId w:val="0"/>
  </w:num>
  <w:num w:numId="2" w16cid:durableId="81560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D"/>
    <w:rsid w:val="0001567D"/>
    <w:rsid w:val="001207BE"/>
    <w:rsid w:val="005B6B05"/>
    <w:rsid w:val="00865E38"/>
    <w:rsid w:val="009C612B"/>
    <w:rsid w:val="00C331A6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C5F1"/>
  <w15:chartTrackingRefBased/>
  <w15:docId w15:val="{D75A224B-923F-488C-BB4F-A5D0178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5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67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5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5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5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567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567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567D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2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207B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2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s.regione.sardeg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2025-07-22T17:13:00Z</dcterms:created>
  <dcterms:modified xsi:type="dcterms:W3CDTF">2025-07-22T17:16:00Z</dcterms:modified>
</cp:coreProperties>
</file>